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441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3559"/>
        <w:gridCol w:w="7961"/>
        <w:tblGridChange w:id="0">
          <w:tblGrid>
            <w:gridCol w:w="2898"/>
            <w:gridCol w:w="3559"/>
            <w:gridCol w:w="796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Video Production - Grades 11-12</w:t>
            </w:r>
          </w:p>
          <w:p w:rsidR="00000000" w:rsidDel="00000000" w:rsidP="00000000" w:rsidRDefault="00000000" w:rsidRPr="00000000">
            <w:pPr>
              <w:contextualSpacing w:val="0"/>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Course Description: </w:t>
            </w:r>
            <w:r w:rsidDel="00000000" w:rsidR="00000000" w:rsidRPr="00000000">
              <w:rPr>
                <w:rFonts w:ascii="Times New Roman" w:cs="Times New Roman" w:eastAsia="Times New Roman" w:hAnsi="Times New Roman"/>
                <w:highlight w:val="white"/>
                <w:rtl w:val="0"/>
              </w:rPr>
              <w:t xml:space="preserve">Video Production at DIS </w:t>
            </w:r>
            <w:r w:rsidDel="00000000" w:rsidR="00000000" w:rsidRPr="00000000">
              <w:rPr>
                <w:rFonts w:ascii="Times New Roman" w:cs="Times New Roman" w:eastAsia="Times New Roman" w:hAnsi="Times New Roman"/>
                <w:rtl w:val="0"/>
              </w:rPr>
              <w:t xml:space="preserve">is an elective course designed to introduce students to professional media and video production. Numerous hands-on projects will be completed throughout the year, including broadcast journalism, interviews, news production, music videos, commercials, promotional films, PSAs, comedies, dramas, documentaries, etc. Students will be responsible for creating school-wide media. Students will design the same quality of professional video and media that we encounter in our real lives outside of school. There will be several opportunities for authentic assessment; students will be able to go out into the field to produce media for this class. Online discussion and group collaboration will play a large role in our learning process. Students will contribute to modern pop-culture and connect the media they make to our lives here in Korea. Through media production students will become “media literate” and critically think about global communications and media trends.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Primary Textbooks and Other Major Content 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use technology such as laptops with video editing software, video cameras, microphones, tripods, teleprompters, lighting, green screens, camera sliders, camera stabilizers, and access to the broadcast studio.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Pdf Rubrics </w:t>
            </w:r>
          </w:p>
          <w:p w:rsidR="00000000" w:rsidDel="00000000" w:rsidP="00000000" w:rsidRDefault="00000000" w:rsidRPr="00000000">
            <w:pPr>
              <w:contextualSpacing w:val="0"/>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standards that are ongoing in each unit: (ISTE, MLR, Common Core, 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Lessons are aligned with </w:t>
            </w:r>
            <w:hyperlink r:id="rId5">
              <w:r w:rsidDel="00000000" w:rsidR="00000000" w:rsidRPr="00000000">
                <w:rPr>
                  <w:rFonts w:ascii="Times New Roman" w:cs="Times New Roman" w:eastAsia="Times New Roman" w:hAnsi="Times New Roman"/>
                  <w:color w:val="0000ff"/>
                  <w:u w:val="single"/>
                  <w:rtl w:val="0"/>
                </w:rPr>
                <w:t xml:space="preserve">The International Society for Technology in Education</w:t>
              </w:r>
            </w:hyperlink>
            <w:r w:rsidDel="00000000" w:rsidR="00000000" w:rsidRPr="00000000">
              <w:rPr>
                <w:rFonts w:ascii="Times New Roman" w:cs="Times New Roman" w:eastAsia="Times New Roman" w:hAnsi="Times New Roman"/>
                <w:rtl w:val="0"/>
              </w:rPr>
              <w:t xml:space="preserve"> (ISTE).</w:t>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2"/>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1</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Introduction to filmmaking / Experimental Film</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5</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video production and filmmaking?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film?</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media can high school students create?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film?</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media?</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filmmaking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plots, props, costumes, and settings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the video</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film</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film productions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filmmaking equipment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Experiment with filmmaking equipment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tips &amp; techniques for creating high quality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video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 new video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3"/>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2</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Broadcast Journalism</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broadcast journalism?</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news and broadcast journalism programs?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news broadcasts can high school students create?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news broadcasts?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news media?</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broadcast journalism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news broadcasts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news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news productions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broadcast journalism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Interviewing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news broadcasts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news broadcasts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video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news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interview questions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news team attire</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4"/>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3</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Promotional Videos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promotional video?</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promotional videos?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promotional videos can high school students create?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promotional videos?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promotional videos?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promotional videos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promotional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promotional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promotional videos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promotional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Promotional video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promotional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promotional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video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topic / event / activity to promote</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5"/>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4</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Documentaries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purpose of  a documentary?</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documentaries?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documentaries can high school students create?</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documentaries?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promotional videos?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promotional videos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documentaries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documentaries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documentaries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documentaries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Documentary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documentaries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documentaries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documentary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subject / theme of documentary</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6"/>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5</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Music Videos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purpose of a music video?</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music videos?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music videos can high school students create?</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music videos?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music videos?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music videos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Discover how to lip sync</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music videos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music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video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music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music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music video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songs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7"/>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6</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TV Commercials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purpose of a TV commercial?</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TV commercials?</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music videos can high school students create?</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music videos?</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music videos?</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music videos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write a persuasive TV Commercial</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TV Commercials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TV commercials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TV commercials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TV commercials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TV commercials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TV commercials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TV commercial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TV commercial product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8"/>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7</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Public Service Announcements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purpose of a PSA?</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PSAs?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PSAs can high school students create?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PSAs?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PSAs?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PSAs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PSAs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write a persuasive PSA</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music videos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PSAs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PSA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PSAs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PSAs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PSA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subject / theme of PSA</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9"/>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8</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Talk Show / Variety Show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goal of a talk show / variety show?</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talk / variety shows?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talk / variety shows can high school students create?</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talk / variety shows?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talk / variety shows?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talk / variety shows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host an entertainment show</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entertainment shows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entertainment shows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talk / variety shows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 / variety show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shows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shows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show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subject / theme of shows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10"/>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9</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Stop Motion Animation</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stop motion animation?</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stop motion animations?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stop motion animations can high school students create?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stop motion animations?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stop motion animations?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animations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animations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design animation characters and backgrounds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music videos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music videos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animation</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animation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animations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animations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animation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characters and backgrounds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    </w:t>
      </w:r>
    </w:p>
    <w:tbl>
      <w:tblPr>
        <w:tblStyle w:val="Table11"/>
        <w:bidi w:val="0"/>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2862"/>
        <w:gridCol w:w="2880"/>
        <w:gridCol w:w="2880"/>
        <w:gridCol w:w="2898"/>
        <w:tblGridChange w:id="0">
          <w:tblGrid>
            <w:gridCol w:w="2898"/>
            <w:gridCol w:w="2862"/>
            <w:gridCol w:w="2880"/>
            <w:gridCol w:w="2880"/>
            <w:gridCol w:w="2898"/>
          </w:tblGrid>
        </w:tblGridChange>
      </w:tblGrid>
      <w:tr>
        <w:tc>
          <w:tcPr>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10</w:t>
            </w:r>
          </w:p>
        </w:tc>
        <w:tc>
          <w:tcPr>
            <w:gridSpan w:val="4"/>
            <w:shd w:fill="bfbfbf"/>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Unit Name: Movie Trailers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purpose of a movie trailer?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movie trailers?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movie trailers can high school students create?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movie trailers?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movie trailers?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movie trailers related to globalization, consumerism, consumption, mass media, and our lives?</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movie trailers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persuade audiences and build suspense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movie trailers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movie trailers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movie trailers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Movie trailer production tips and techniques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movie trailers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movie trailers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movie trailer ideas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contextualSpacing w:val="0"/>
      </w:pPr>
      <w:bookmarkStart w:colFirst="0" w:colLast="0" w:name="h.3v3mjpafj70l" w:id="0"/>
      <w:bookmarkEnd w:id="0"/>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2"/>
        <w:bidi w:val="0"/>
        <w:tblW w:w="14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2860"/>
        <w:gridCol w:w="2880"/>
        <w:gridCol w:w="2880"/>
        <w:gridCol w:w="2900"/>
        <w:tblGridChange w:id="0">
          <w:tblGrid>
            <w:gridCol w:w="2900"/>
            <w:gridCol w:w="2860"/>
            <w:gridCol w:w="2880"/>
            <w:gridCol w:w="2880"/>
            <w:gridCol w:w="2900"/>
          </w:tblGrid>
        </w:tblGridChange>
      </w:tblGrid>
      <w:tr>
        <w:tc>
          <w:tcPr>
            <w:shd w:fill="bfbfbf"/>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Unit 11</w:t>
            </w:r>
          </w:p>
        </w:tc>
        <w:tc>
          <w:tcPr>
            <w:gridSpan w:val="4"/>
            <w:shd w:fill="bfbfbf"/>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Unit Name: Short Films</w:t>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Number of 80 minute classes: 8</w:t>
            </w:r>
          </w:p>
        </w:tc>
        <w:tc>
          <w:tcPr>
            <w:gridSpan w:val="4"/>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Essential Questions:</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 short film?</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media professionals create high quality short films?</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forms of high quality short films can high school students create?</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resources are required to create high quality short films?</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content when creating short films?</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short films related to globalization, consumerism, consumption, mass media, and our lives?</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MLR/CC/NGSC</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ISTE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1. Creativity &amp; Innovation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1a, 1b, 1c, 1d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2. Communication &amp; Collaboration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2a, 2b, 2c, 2d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3. Research &amp; Information Fluency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3a, 3b, 3c, 3d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4. Critical Thinking, Problem Solving, &amp; Decision Making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4a, 4b, 4c, 4d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5. Digital Citizenship</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5a, 5b, 5c, 5d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6. Technology Operations &amp; Concepts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6a, 6b, 6c, 6d</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Objectives:  Skills and Knowledge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rtl w:val="0"/>
              </w:rPr>
              <w:t xml:space="preserve">The student will…</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Investigate video recording, cinematography, and the filming process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choose the correct audio and visual media to incorporate into short films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Discover how to develop plot and build suspense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film editing</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Cooperatively work in a small group to achieve a common goal from start to finish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Research professional short films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Analyze personal short films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Major Content and Sources:</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Storyboard templates</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Laptops with video editing software</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Video cameras</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Microphones</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Tripods</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Teleprompters</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Lighting</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Green screen</w:t>
            </w:r>
          </w:p>
          <w:p w:rsidR="00000000" w:rsidDel="00000000" w:rsidP="00000000" w:rsidRDefault="00000000" w:rsidRPr="00000000">
            <w:pPr>
              <w:numPr>
                <w:ilvl w:val="0"/>
                <w:numId w:val="12"/>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Broadcast studio</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Sample Lessons: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short films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film production tips and techniques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samples of professional and student-produced short films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the strengths and weaknesses of sample short films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 new short film ideas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story-boards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scripts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filming locations, roles of all group members, props or costumes, and plot</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feedback </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Finalize videos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finalized videos</w:t>
            </w:r>
          </w:p>
          <w:p w:rsidR="00000000" w:rsidDel="00000000" w:rsidP="00000000" w:rsidRDefault="00000000" w:rsidRPr="00000000">
            <w:pPr>
              <w:numPr>
                <w:ilvl w:val="0"/>
                <w:numId w:val="15"/>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 on finalized videos</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Assessments: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Formative:</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Storyboards</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Scripts</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Updates</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rough drafts of videos</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reflection forum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pPr>
              <w:numPr>
                <w:ilvl w:val="0"/>
                <w:numId w:val="10"/>
              </w:numPr>
              <w:spacing w:after="0" w:line="240" w:lineRule="auto"/>
              <w:ind w:left="72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Finalized videos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Times New Roman"/>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ste.org/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